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1DE2" w14:textId="77777777" w:rsidR="00F13614" w:rsidRPr="0014601B" w:rsidRDefault="00F13614" w:rsidP="00F13614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ОБЕЗБЈЕЂЕЊЕ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КВАЛИТЕТА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НАСТАВНОГ ПРОЦЕСА НА </w:t>
      </w:r>
      <w:r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7486534C" w14:textId="32CED176" w:rsidR="00F13614" w:rsidRDefault="00F13614" w:rsidP="00F13614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- резултати анкете која је спроведена у љетњем семестру 20</w:t>
      </w:r>
      <w:r w:rsidR="00F73F67">
        <w:rPr>
          <w:rFonts w:ascii="Times New Roman" w:hAnsi="Times New Roman" w:cs="Times New Roman"/>
          <w:b/>
          <w:sz w:val="36"/>
          <w:szCs w:val="36"/>
          <w:lang w:val="sr-Cyrl-BA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F73F67">
        <w:rPr>
          <w:rFonts w:ascii="Times New Roman" w:hAnsi="Times New Roman" w:cs="Times New Roman"/>
          <w:b/>
          <w:sz w:val="36"/>
          <w:szCs w:val="36"/>
          <w:lang w:val="sr-Cyrl-BA"/>
        </w:rPr>
        <w:t>21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академске године - </w:t>
      </w:r>
    </w:p>
    <w:p w14:paraId="60366F89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2361CE63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A3769DA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E4D1BF" w14:textId="158372EF" w:rsidR="007B4680" w:rsidRPr="0078466C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577DD0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59584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учествовало је укупно </w:t>
      </w:r>
      <w:r w:rsidR="00595848">
        <w:rPr>
          <w:rFonts w:ascii="Times New Roman" w:hAnsi="Times New Roman" w:cs="Times New Roman"/>
          <w:sz w:val="24"/>
          <w:szCs w:val="24"/>
          <w:lang w:val="sr-Latn-BA"/>
        </w:rPr>
        <w:t>16</w:t>
      </w:r>
      <w:r w:rsidR="00577DD0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студената, и то: </w:t>
      </w:r>
    </w:p>
    <w:p w14:paraId="774F6878" w14:textId="77777777" w:rsidR="007B4680" w:rsidRPr="0078466C" w:rsidRDefault="003A4F88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595848">
        <w:rPr>
          <w:rFonts w:ascii="Times New Roman" w:hAnsi="Times New Roman" w:cs="Times New Roman"/>
          <w:sz w:val="24"/>
          <w:szCs w:val="24"/>
          <w:lang w:val="sr-Latn-BA"/>
        </w:rPr>
        <w:t>48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</w:p>
    <w:p w14:paraId="3C67CCDD" w14:textId="77777777" w:rsidR="007B4680" w:rsidRPr="0078466C" w:rsidRDefault="003A4F88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A3965">
        <w:rPr>
          <w:rFonts w:ascii="Times New Roman" w:hAnsi="Times New Roman" w:cs="Times New Roman"/>
          <w:sz w:val="24"/>
          <w:szCs w:val="24"/>
          <w:lang w:val="sr-Cyrl-BA"/>
        </w:rPr>
        <w:t>40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DA396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577DD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</w:p>
    <w:p w14:paraId="752B0B21" w14:textId="77777777" w:rsidR="007B4680" w:rsidRPr="0078466C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A3965">
        <w:rPr>
          <w:rFonts w:ascii="Times New Roman" w:hAnsi="Times New Roman" w:cs="Times New Roman"/>
          <w:sz w:val="24"/>
          <w:szCs w:val="24"/>
          <w:lang w:val="sr-Cyrl-BA"/>
        </w:rPr>
        <w:t>47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DA396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DA396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треће године,</w:t>
      </w:r>
    </w:p>
    <w:p w14:paraId="0F56F0D2" w14:textId="77777777" w:rsidR="00F75597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A3965">
        <w:rPr>
          <w:rFonts w:ascii="Times New Roman" w:hAnsi="Times New Roman" w:cs="Times New Roman"/>
          <w:sz w:val="24"/>
          <w:szCs w:val="24"/>
          <w:lang w:val="sr-Cyrl-BA"/>
        </w:rPr>
        <w:t>27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та четврте године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15615746" w14:textId="77777777" w:rsidR="007B4680" w:rsidRPr="0078466C" w:rsidRDefault="00DA3965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- 6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25DC7A2" w14:textId="77777777" w:rsidR="007B4680" w:rsidRPr="0078466C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D899B92" w14:textId="6EDCED06" w:rsidR="00C712EF" w:rsidRDefault="00C712EF" w:rsidP="00F66BC4">
      <w:pPr>
        <w:ind w:firstLine="0"/>
        <w:rPr>
          <w:rFonts w:ascii="Times New Roman" w:hAnsi="Times New Roman" w:cs="Times New Roman"/>
          <w:noProof/>
          <w:sz w:val="24"/>
          <w:szCs w:val="24"/>
          <w:lang w:val="sr-Cyrl-BA"/>
        </w:rPr>
      </w:pPr>
    </w:p>
    <w:p w14:paraId="2C7DF3D8" w14:textId="77007843" w:rsidR="00F73F67" w:rsidRDefault="00F73F67" w:rsidP="00F66BC4">
      <w:pPr>
        <w:ind w:firstLine="0"/>
        <w:rPr>
          <w:rFonts w:ascii="Times New Roman" w:hAnsi="Times New Roman" w:cs="Times New Roman"/>
          <w:noProof/>
          <w:sz w:val="24"/>
          <w:szCs w:val="24"/>
          <w:lang w:val="sr-Cyrl-BA"/>
        </w:rPr>
      </w:pPr>
    </w:p>
    <w:p w14:paraId="68129787" w14:textId="77777777" w:rsidR="00F73F67" w:rsidRPr="0078466C" w:rsidRDefault="00F73F67" w:rsidP="00F66BC4">
      <w:pPr>
        <w:ind w:firstLine="0"/>
        <w:rPr>
          <w:sz w:val="24"/>
          <w:szCs w:val="24"/>
          <w:lang w:val="sr-Cyrl-BA"/>
        </w:rPr>
      </w:pPr>
    </w:p>
    <w:p w14:paraId="53222B12" w14:textId="77777777" w:rsidR="00221296" w:rsidRDefault="00221296" w:rsidP="0038083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0DB3544" w14:textId="77777777" w:rsidR="0024772B" w:rsidRDefault="0024772B" w:rsidP="0038083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49768D7" w14:textId="77777777" w:rsidR="0024772B" w:rsidRPr="0024772B" w:rsidRDefault="0024772B" w:rsidP="0024772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4772B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Прво, студенти су требали да се изјасне да ли су задовољни студијским програмом који похађају, а затим да оцијене наставнике оцјенама од 1 (најлошија) до 5 (најбоља) по сљедећим критеријумима:</w:t>
      </w:r>
    </w:p>
    <w:p w14:paraId="4F9DD29A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74A53742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0145CC9A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6DC6D987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009408FC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4A294AA4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D215E08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74211FC9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5CD5BC7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2246C194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0F7D0DE8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B8B272A" w14:textId="7B842914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систента у </w:t>
      </w:r>
      <w:r w:rsidR="006F6B4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46A64B4" w14:textId="466104F6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6F6B4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20/2021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70A61D30" w14:textId="4D9FCED3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6F6B4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FBAA570" w14:textId="7B303FBF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 w:rsidR="006F6B4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73F67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6697BDA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37C11C9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0672576D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B909529" w14:textId="7F40AC99" w:rsidR="0024772B" w:rsidRDefault="0024772B" w:rsidP="0024772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F2A704D" w14:textId="77777777" w:rsidR="00F73F67" w:rsidRDefault="00F73F67" w:rsidP="0024772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4376B0B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73850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F816A0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CF7D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3E8CE6AC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3E7A1C7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6DA3D69A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416CC110" w14:textId="17A01640" w:rsidR="00FF67C1" w:rsidRPr="001A288B" w:rsidRDefault="00FF67C1" w:rsidP="005900BF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AНКETA ЗA СTУДEНTE – </w:t>
            </w:r>
            <w:r w:rsidR="0059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ЉЕТЊИ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 СЕМЕСТАР 20</w:t>
            </w:r>
            <w:r w:rsidR="00F7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20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F7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21</w:t>
            </w:r>
          </w:p>
        </w:tc>
      </w:tr>
      <w:tr w:rsidR="00FF67C1" w:rsidRPr="0078466C" w14:paraId="60CFAAE2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122B82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1C0201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A9CB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6EF591A9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DB8DA6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D5E236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0158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D5238A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7FC44AA2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28701580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3A688AE8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E1E925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BA07E2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41F8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26EDCE06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A5A885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93ED6AE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4ABE74F4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079980C6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3BA78611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058876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50C6E5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2996" w14:textId="738249B2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6852378F" w14:textId="77777777" w:rsidR="00F73F67" w:rsidRDefault="00F73F67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7CA75CFE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2B757424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1584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C8A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DD4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3BC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55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9A6D6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FBA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903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EE6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322FB9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4099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02BC1E47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47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455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658B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85B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6F5B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D6B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B0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7AD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3298283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6BA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16067918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5A4C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E18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388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858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7B35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5D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3C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8D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3621512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80B042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15F6B78F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34ECABC9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768718C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37CDA30B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66F4AB72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74CF3983" w14:textId="352A5991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4BAE9BE" w14:textId="01A5DE3E" w:rsidR="00F73F67" w:rsidRDefault="00F73F67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534B9730" w14:textId="77777777" w:rsidR="00F73F67" w:rsidRDefault="00F73F67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CDE5EF5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09EDCD53" w14:textId="2B27128A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CE797B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850AB6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50AB6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D5238A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168 студената, и то 48 студената прве године, 40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D5238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D5238A">
        <w:rPr>
          <w:rFonts w:ascii="Times New Roman" w:hAnsi="Times New Roman" w:cs="Times New Roman"/>
          <w:sz w:val="24"/>
          <w:szCs w:val="24"/>
          <w:lang w:val="sr-Cyrl-BA"/>
        </w:rPr>
        <w:t>а друге године, 47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D5238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D5238A">
        <w:rPr>
          <w:rFonts w:ascii="Times New Roman" w:hAnsi="Times New Roman" w:cs="Times New Roman"/>
          <w:sz w:val="24"/>
          <w:szCs w:val="24"/>
          <w:lang w:val="sr-Cyrl-BA"/>
        </w:rPr>
        <w:t>а треће године, 27 студената четврте године и 6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2EAA759" w14:textId="77777777" w:rsidR="00450B37" w:rsidRDefault="009524E8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добијени су подаци о задовољству студената студијским програмом који похађају, као и подаци о квалитету наставе (предавања и вјежби) која се изводи на 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</w:p>
    <w:p w14:paraId="7F22ABAA" w14:textId="14FEFA86" w:rsidR="00266CC9" w:rsidRDefault="00450B37" w:rsidP="004029F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студенти углавном задовољни студијским програмом </w:t>
      </w:r>
      <w:r w:rsidR="004029F5">
        <w:rPr>
          <w:rFonts w:ascii="Times New Roman" w:hAnsi="Times New Roman" w:cs="Times New Roman"/>
          <w:sz w:val="24"/>
          <w:szCs w:val="24"/>
          <w:lang w:val="sr-Cyrl-BA"/>
        </w:rPr>
        <w:t>који похађају. Од укупно 16</w:t>
      </w:r>
      <w:r w:rsidR="00580B9F">
        <w:rPr>
          <w:rFonts w:ascii="Times New Roman" w:hAnsi="Times New Roman" w:cs="Times New Roman"/>
          <w:sz w:val="24"/>
          <w:szCs w:val="24"/>
          <w:lang w:val="sr-Cyrl-BA"/>
        </w:rPr>
        <w:t>8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анкетираних студен</w:t>
      </w:r>
      <w:r w:rsidR="004029F5">
        <w:rPr>
          <w:rFonts w:ascii="Times New Roman" w:hAnsi="Times New Roman" w:cs="Times New Roman"/>
          <w:sz w:val="24"/>
          <w:szCs w:val="24"/>
          <w:lang w:val="sr-Cyrl-BA"/>
        </w:rPr>
        <w:t>ата, њих 146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029F5">
        <w:rPr>
          <w:rFonts w:ascii="Times New Roman" w:hAnsi="Times New Roman" w:cs="Times New Roman"/>
          <w:b/>
          <w:sz w:val="24"/>
          <w:szCs w:val="24"/>
          <w:lang w:val="sr-Cyrl-BA"/>
        </w:rPr>
        <w:t>(86</w:t>
      </w:r>
      <w:r w:rsidR="00580B9F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4029F5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580B9F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</w:t>
      </w:r>
      <w:r w:rsidR="004029F5">
        <w:rPr>
          <w:rFonts w:ascii="Times New Roman" w:hAnsi="Times New Roman" w:cs="Times New Roman"/>
          <w:sz w:val="24"/>
          <w:szCs w:val="24"/>
          <w:lang w:val="sr-Cyrl-BA"/>
        </w:rPr>
        <w:t>њих 13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029F5">
        <w:rPr>
          <w:rFonts w:ascii="Times New Roman" w:hAnsi="Times New Roman" w:cs="Times New Roman"/>
          <w:b/>
          <w:sz w:val="24"/>
          <w:szCs w:val="24"/>
          <w:lang w:val="sr-Cyrl-BA"/>
        </w:rPr>
        <w:t>(7,74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</w:t>
      </w:r>
      <w:r w:rsidR="004029F5">
        <w:rPr>
          <w:rFonts w:ascii="Times New Roman" w:hAnsi="Times New Roman" w:cs="Times New Roman"/>
          <w:sz w:val="24"/>
          <w:szCs w:val="24"/>
          <w:lang w:val="sr-Cyrl-BA"/>
        </w:rPr>
        <w:t>, а 9</w:t>
      </w:r>
      <w:r w:rsidR="00D97AE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029F5">
        <w:rPr>
          <w:rFonts w:ascii="Times New Roman" w:hAnsi="Times New Roman" w:cs="Times New Roman"/>
          <w:b/>
          <w:sz w:val="24"/>
          <w:szCs w:val="24"/>
          <w:lang w:val="sr-Cyrl-BA"/>
        </w:rPr>
        <w:t>(5,36</w:t>
      </w:r>
      <w:r w:rsidR="00D97AEA"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="00D97AEA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се није изјаснило.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програмом, по годинама, дат је у наредној табели.</w:t>
      </w:r>
    </w:p>
    <w:p w14:paraId="14DD979C" w14:textId="77777777" w:rsidR="00850AB6" w:rsidRDefault="00850AB6" w:rsidP="004029F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597C11C0" w14:textId="77777777" w:rsidTr="00B97988">
        <w:tc>
          <w:tcPr>
            <w:tcW w:w="1402" w:type="dxa"/>
            <w:vMerge w:val="restart"/>
            <w:vAlign w:val="center"/>
          </w:tcPr>
          <w:p w14:paraId="70208AA6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vAlign w:val="center"/>
          </w:tcPr>
          <w:p w14:paraId="2B73F6D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vAlign w:val="center"/>
          </w:tcPr>
          <w:p w14:paraId="1AD09B2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vAlign w:val="center"/>
          </w:tcPr>
          <w:p w14:paraId="4FDCD7D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vAlign w:val="center"/>
          </w:tcPr>
          <w:p w14:paraId="6652626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</w:tcPr>
          <w:p w14:paraId="0195BB79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vAlign w:val="center"/>
          </w:tcPr>
          <w:p w14:paraId="6845D151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761031FF" w14:textId="77777777" w:rsidTr="00187A5F">
        <w:tc>
          <w:tcPr>
            <w:tcW w:w="1402" w:type="dxa"/>
            <w:vMerge/>
            <w:vAlign w:val="center"/>
          </w:tcPr>
          <w:p w14:paraId="07C1EBB0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vAlign w:val="center"/>
          </w:tcPr>
          <w:p w14:paraId="357B78D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5CD8530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71F736B2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33FA391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216DB71F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0916F2D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506EB5A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423BFDE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12880A71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08055923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50393D2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3EEBC5C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125B9E24" w14:textId="77777777" w:rsidTr="00187A5F">
        <w:tc>
          <w:tcPr>
            <w:tcW w:w="1402" w:type="dxa"/>
            <w:vAlign w:val="center"/>
          </w:tcPr>
          <w:p w14:paraId="665AEC6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92B6968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41</w:t>
            </w:r>
          </w:p>
        </w:tc>
        <w:tc>
          <w:tcPr>
            <w:tcW w:w="1134" w:type="dxa"/>
            <w:vAlign w:val="center"/>
          </w:tcPr>
          <w:p w14:paraId="217793A6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85,42</w:t>
            </w:r>
          </w:p>
        </w:tc>
        <w:tc>
          <w:tcPr>
            <w:tcW w:w="1134" w:type="dxa"/>
            <w:vAlign w:val="center"/>
          </w:tcPr>
          <w:p w14:paraId="03680B1E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134" w:type="dxa"/>
            <w:vAlign w:val="center"/>
          </w:tcPr>
          <w:p w14:paraId="497F4023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87,50</w:t>
            </w:r>
          </w:p>
        </w:tc>
        <w:tc>
          <w:tcPr>
            <w:tcW w:w="1134" w:type="dxa"/>
            <w:vAlign w:val="center"/>
          </w:tcPr>
          <w:p w14:paraId="31CC4812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42</w:t>
            </w:r>
          </w:p>
        </w:tc>
        <w:tc>
          <w:tcPr>
            <w:tcW w:w="1134" w:type="dxa"/>
            <w:vAlign w:val="center"/>
          </w:tcPr>
          <w:p w14:paraId="04F5ADB7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89,36</w:t>
            </w:r>
          </w:p>
        </w:tc>
        <w:tc>
          <w:tcPr>
            <w:tcW w:w="1134" w:type="dxa"/>
            <w:vAlign w:val="center"/>
          </w:tcPr>
          <w:p w14:paraId="6015EA6B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</w:t>
            </w:r>
          </w:p>
        </w:tc>
        <w:tc>
          <w:tcPr>
            <w:tcW w:w="1134" w:type="dxa"/>
            <w:vAlign w:val="center"/>
          </w:tcPr>
          <w:p w14:paraId="43CEF9C4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88,89</w:t>
            </w:r>
          </w:p>
        </w:tc>
        <w:tc>
          <w:tcPr>
            <w:tcW w:w="1134" w:type="dxa"/>
          </w:tcPr>
          <w:p w14:paraId="7650A772" w14:textId="77777777" w:rsidR="00187A5F" w:rsidRPr="005254D7" w:rsidRDefault="005254D7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134" w:type="dxa"/>
          </w:tcPr>
          <w:p w14:paraId="0F34B90D" w14:textId="77777777" w:rsidR="00187A5F" w:rsidRPr="005254D7" w:rsidRDefault="005254D7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66,66</w:t>
            </w:r>
          </w:p>
        </w:tc>
        <w:tc>
          <w:tcPr>
            <w:tcW w:w="1134" w:type="dxa"/>
            <w:vAlign w:val="center"/>
          </w:tcPr>
          <w:p w14:paraId="74ABEC47" w14:textId="77777777" w:rsidR="00187A5F" w:rsidRPr="00AF013B" w:rsidRDefault="004029F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146</w:t>
            </w:r>
          </w:p>
        </w:tc>
        <w:tc>
          <w:tcPr>
            <w:tcW w:w="1134" w:type="dxa"/>
            <w:vAlign w:val="center"/>
          </w:tcPr>
          <w:p w14:paraId="029467B8" w14:textId="77777777" w:rsidR="00187A5F" w:rsidRPr="0049336D" w:rsidRDefault="004029F5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86,90</w:t>
            </w:r>
          </w:p>
        </w:tc>
      </w:tr>
      <w:tr w:rsidR="00187A5F" w14:paraId="2A5AE955" w14:textId="77777777" w:rsidTr="00187A5F">
        <w:tc>
          <w:tcPr>
            <w:tcW w:w="1402" w:type="dxa"/>
            <w:vAlign w:val="center"/>
          </w:tcPr>
          <w:p w14:paraId="5FCE899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11808341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134" w:type="dxa"/>
            <w:vAlign w:val="center"/>
          </w:tcPr>
          <w:p w14:paraId="0A380698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8,33</w:t>
            </w:r>
          </w:p>
        </w:tc>
        <w:tc>
          <w:tcPr>
            <w:tcW w:w="1134" w:type="dxa"/>
            <w:vAlign w:val="center"/>
          </w:tcPr>
          <w:p w14:paraId="2261AE9E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134" w:type="dxa"/>
            <w:vAlign w:val="center"/>
          </w:tcPr>
          <w:p w14:paraId="18749C1F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7,50</w:t>
            </w:r>
          </w:p>
        </w:tc>
        <w:tc>
          <w:tcPr>
            <w:tcW w:w="1134" w:type="dxa"/>
            <w:vAlign w:val="center"/>
          </w:tcPr>
          <w:p w14:paraId="4C9617FE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134" w:type="dxa"/>
            <w:vAlign w:val="center"/>
          </w:tcPr>
          <w:p w14:paraId="35235719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6,38</w:t>
            </w:r>
          </w:p>
        </w:tc>
        <w:tc>
          <w:tcPr>
            <w:tcW w:w="1134" w:type="dxa"/>
            <w:vAlign w:val="center"/>
          </w:tcPr>
          <w:p w14:paraId="27D11C2C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134" w:type="dxa"/>
            <w:vAlign w:val="center"/>
          </w:tcPr>
          <w:p w14:paraId="1C327F68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7,41</w:t>
            </w:r>
          </w:p>
        </w:tc>
        <w:tc>
          <w:tcPr>
            <w:tcW w:w="1134" w:type="dxa"/>
          </w:tcPr>
          <w:p w14:paraId="584E6DD4" w14:textId="77777777" w:rsidR="00187A5F" w:rsidRPr="005254D7" w:rsidRDefault="005254D7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134" w:type="dxa"/>
          </w:tcPr>
          <w:p w14:paraId="53D84EEF" w14:textId="77777777" w:rsidR="00187A5F" w:rsidRPr="005254D7" w:rsidRDefault="005254D7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16,67</w:t>
            </w:r>
          </w:p>
        </w:tc>
        <w:tc>
          <w:tcPr>
            <w:tcW w:w="1134" w:type="dxa"/>
            <w:vAlign w:val="center"/>
          </w:tcPr>
          <w:p w14:paraId="2C58F666" w14:textId="77777777" w:rsidR="00187A5F" w:rsidRPr="00AF013B" w:rsidRDefault="004029F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134" w:type="dxa"/>
            <w:vAlign w:val="center"/>
          </w:tcPr>
          <w:p w14:paraId="6BF17D25" w14:textId="77777777" w:rsidR="00187A5F" w:rsidRPr="0049336D" w:rsidRDefault="004029F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7,74</w:t>
            </w:r>
          </w:p>
        </w:tc>
      </w:tr>
      <w:tr w:rsidR="00187A5F" w14:paraId="42CE9DA3" w14:textId="77777777" w:rsidTr="00187A5F">
        <w:tc>
          <w:tcPr>
            <w:tcW w:w="1402" w:type="dxa"/>
            <w:vAlign w:val="center"/>
          </w:tcPr>
          <w:p w14:paraId="7CB62323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726EFDEF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134" w:type="dxa"/>
            <w:vAlign w:val="center"/>
          </w:tcPr>
          <w:p w14:paraId="27109C5B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6,25</w:t>
            </w:r>
          </w:p>
        </w:tc>
        <w:tc>
          <w:tcPr>
            <w:tcW w:w="1134" w:type="dxa"/>
            <w:vAlign w:val="center"/>
          </w:tcPr>
          <w:p w14:paraId="434B2381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134" w:type="dxa"/>
            <w:vAlign w:val="center"/>
          </w:tcPr>
          <w:p w14:paraId="349DDA8A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5,00</w:t>
            </w:r>
          </w:p>
        </w:tc>
        <w:tc>
          <w:tcPr>
            <w:tcW w:w="1134" w:type="dxa"/>
            <w:vAlign w:val="center"/>
          </w:tcPr>
          <w:p w14:paraId="26D5AF55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134" w:type="dxa"/>
            <w:vAlign w:val="center"/>
          </w:tcPr>
          <w:p w14:paraId="6EB4297E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4,26</w:t>
            </w:r>
          </w:p>
        </w:tc>
        <w:tc>
          <w:tcPr>
            <w:tcW w:w="1134" w:type="dxa"/>
            <w:vAlign w:val="center"/>
          </w:tcPr>
          <w:p w14:paraId="10A8A9E8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134" w:type="dxa"/>
            <w:vAlign w:val="center"/>
          </w:tcPr>
          <w:p w14:paraId="318AE8BF" w14:textId="77777777" w:rsidR="00187A5F" w:rsidRPr="005254D7" w:rsidRDefault="005254D7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3,70</w:t>
            </w:r>
          </w:p>
        </w:tc>
        <w:tc>
          <w:tcPr>
            <w:tcW w:w="1134" w:type="dxa"/>
          </w:tcPr>
          <w:p w14:paraId="390FBB75" w14:textId="77777777" w:rsidR="00187A5F" w:rsidRPr="005254D7" w:rsidRDefault="005254D7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134" w:type="dxa"/>
          </w:tcPr>
          <w:p w14:paraId="2B9749B4" w14:textId="77777777" w:rsidR="00187A5F" w:rsidRPr="005254D7" w:rsidRDefault="005254D7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16,67</w:t>
            </w:r>
          </w:p>
        </w:tc>
        <w:tc>
          <w:tcPr>
            <w:tcW w:w="1134" w:type="dxa"/>
            <w:vAlign w:val="center"/>
          </w:tcPr>
          <w:p w14:paraId="65F33BD4" w14:textId="77777777" w:rsidR="00187A5F" w:rsidRDefault="004029F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134" w:type="dxa"/>
            <w:vAlign w:val="center"/>
          </w:tcPr>
          <w:p w14:paraId="3F4B321F" w14:textId="77777777" w:rsidR="00187A5F" w:rsidRDefault="004029F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5,36</w:t>
            </w:r>
          </w:p>
        </w:tc>
      </w:tr>
      <w:tr w:rsidR="004029F5" w:rsidRPr="004029F5" w14:paraId="66FB3B4B" w14:textId="77777777" w:rsidTr="004029F5">
        <w:tc>
          <w:tcPr>
            <w:tcW w:w="1402" w:type="dxa"/>
            <w:vAlign w:val="center"/>
          </w:tcPr>
          <w:p w14:paraId="0B824FE8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vAlign w:val="center"/>
          </w:tcPr>
          <w:p w14:paraId="21403B05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029F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48</w:t>
            </w:r>
          </w:p>
        </w:tc>
        <w:tc>
          <w:tcPr>
            <w:tcW w:w="1134" w:type="dxa"/>
            <w:vAlign w:val="center"/>
          </w:tcPr>
          <w:p w14:paraId="3824EA16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029F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7B351B77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40</w:t>
            </w:r>
          </w:p>
        </w:tc>
        <w:tc>
          <w:tcPr>
            <w:tcW w:w="1134" w:type="dxa"/>
            <w:vAlign w:val="center"/>
          </w:tcPr>
          <w:p w14:paraId="3F6B9D64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1E81D43B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47</w:t>
            </w:r>
          </w:p>
        </w:tc>
        <w:tc>
          <w:tcPr>
            <w:tcW w:w="1134" w:type="dxa"/>
            <w:vAlign w:val="center"/>
          </w:tcPr>
          <w:p w14:paraId="75B7992C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1F7C209A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1134" w:type="dxa"/>
            <w:vAlign w:val="center"/>
          </w:tcPr>
          <w:p w14:paraId="77FB71E8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044DD9CE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134" w:type="dxa"/>
            <w:vAlign w:val="center"/>
          </w:tcPr>
          <w:p w14:paraId="39A96584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32A83CD7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168</w:t>
            </w:r>
          </w:p>
        </w:tc>
        <w:tc>
          <w:tcPr>
            <w:tcW w:w="1134" w:type="dxa"/>
            <w:vAlign w:val="center"/>
          </w:tcPr>
          <w:p w14:paraId="7B32CD4F" w14:textId="77777777" w:rsidR="004029F5" w:rsidRPr="004029F5" w:rsidRDefault="004029F5" w:rsidP="004029F5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4F1EA627" w14:textId="77777777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D91450" w14:textId="77777777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4029F5">
        <w:rPr>
          <w:rFonts w:ascii="Times New Roman" w:hAnsi="Times New Roman" w:cs="Times New Roman"/>
          <w:sz w:val="24"/>
          <w:szCs w:val="24"/>
          <w:lang w:val="sr-Cyrl-BA"/>
        </w:rPr>
        <w:t xml:space="preserve">и то: </w:t>
      </w:r>
    </w:p>
    <w:p w14:paraId="53ED1B5A" w14:textId="484DA131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наставе у </w:t>
      </w:r>
      <w:r w:rsidR="00C70424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850AB6">
        <w:rPr>
          <w:rFonts w:ascii="Times New Roman" w:hAnsi="Times New Roman" w:cs="Times New Roman"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50AB6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701964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4029F5">
        <w:rPr>
          <w:rFonts w:ascii="Times New Roman" w:hAnsi="Times New Roman" w:cs="Times New Roman"/>
          <w:b/>
          <w:sz w:val="24"/>
          <w:szCs w:val="24"/>
          <w:lang w:val="sr-Cyrl-BA"/>
        </w:rPr>
        <w:t>26</w:t>
      </w:r>
    </w:p>
    <w:p w14:paraId="4A3F20D0" w14:textId="312BDF66" w:rsidR="001F351A" w:rsidRPr="00E448E8" w:rsidRDefault="001F351A" w:rsidP="002063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предавања у </w:t>
      </w:r>
      <w:r w:rsidR="00C70424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850AB6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50AB6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4029F5">
        <w:rPr>
          <w:rFonts w:ascii="Times New Roman" w:hAnsi="Times New Roman" w:cs="Times New Roman"/>
          <w:b/>
          <w:sz w:val="24"/>
          <w:szCs w:val="24"/>
          <w:lang w:val="sr-Cyrl-BA"/>
        </w:rPr>
        <w:t>4,24</w:t>
      </w:r>
    </w:p>
    <w:p w14:paraId="72DAB296" w14:textId="43358FAE" w:rsidR="007B4680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вјежби у </w:t>
      </w:r>
      <w:r w:rsidR="00C70424">
        <w:rPr>
          <w:rFonts w:ascii="Times New Roman" w:hAnsi="Times New Roman" w:cs="Times New Roman"/>
          <w:sz w:val="24"/>
          <w:szCs w:val="24"/>
          <w:lang w:val="sr-Cyrl-BA"/>
        </w:rPr>
        <w:t xml:space="preserve">љетњем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семестру 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850AB6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850AB6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= </w:t>
      </w:r>
      <w:r w:rsidR="004029F5">
        <w:rPr>
          <w:rFonts w:ascii="Times New Roman" w:hAnsi="Times New Roman" w:cs="Times New Roman"/>
          <w:b/>
          <w:sz w:val="24"/>
          <w:szCs w:val="24"/>
          <w:lang w:val="sr-Cyrl-BA"/>
        </w:rPr>
        <w:t>4,28</w:t>
      </w:r>
    </w:p>
    <w:p w14:paraId="2ADF42A7" w14:textId="0B882853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</w:t>
      </w:r>
      <w:r w:rsidR="00302FE1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850AB6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850AB6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7D80E3C1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CD20A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2AD8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7594D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9A93A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F02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22EED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FF2D7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5CC26F4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10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F495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3,97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635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9D13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FC2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E59C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436D3C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4,24</w:t>
            </w:r>
          </w:p>
        </w:tc>
      </w:tr>
      <w:tr w:rsidR="00116ADD" w:rsidRPr="0078466C" w14:paraId="027FFABB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313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E1D3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2322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B421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B97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561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4,53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B8F2A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4,43</w:t>
            </w:r>
          </w:p>
        </w:tc>
      </w:tr>
      <w:tr w:rsidR="00116ADD" w:rsidRPr="0078466C" w14:paraId="1371649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B74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C85D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3,96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399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BD3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89C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F55B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D09859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4,21</w:t>
            </w:r>
          </w:p>
        </w:tc>
      </w:tr>
      <w:tr w:rsidR="00116ADD" w:rsidRPr="0078466C" w14:paraId="4AC4D8A6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37DE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F8AB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9ABB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B4C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167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824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4,07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AF07A2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4,15</w:t>
            </w:r>
          </w:p>
        </w:tc>
      </w:tr>
      <w:tr w:rsidR="00116ADD" w:rsidRPr="0078466C" w14:paraId="79B7E02C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2973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161E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3,98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1C1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868B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EE2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C84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A19AAE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4,26</w:t>
            </w:r>
          </w:p>
        </w:tc>
      </w:tr>
      <w:tr w:rsidR="00116ADD" w:rsidRPr="0078466C" w14:paraId="52A3A10C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E575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7B84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1C5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BBC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BD8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9147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13964" w14:textId="77777777" w:rsidR="005254D7" w:rsidRPr="005254D7" w:rsidRDefault="005254D7" w:rsidP="005254D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4,27</w:t>
            </w:r>
          </w:p>
        </w:tc>
      </w:tr>
      <w:tr w:rsidR="00116ADD" w:rsidRPr="0078466C" w14:paraId="21C78337" w14:textId="77777777" w:rsidTr="004029F5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661C87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58B5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506A6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4,25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CE18C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5B07F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0BCB3" w14:textId="77777777" w:rsidR="00FA165E" w:rsidRPr="005254D7" w:rsidRDefault="005254D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4,30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3DA39" w14:textId="77777777" w:rsidR="00FA165E" w:rsidRPr="00130E40" w:rsidRDefault="004029F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4,26</w:t>
            </w:r>
          </w:p>
        </w:tc>
      </w:tr>
    </w:tbl>
    <w:p w14:paraId="7E01ABE5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212C6502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2434C2B6" wp14:editId="171E850E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8E321C3" wp14:editId="0C92E7BF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2BB819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B425DAB" w14:textId="3FC9177B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ПРЕДАВАЊА, по годинама, за појединачне индикаторе у </w:t>
      </w:r>
      <w:r w:rsidR="00CE3D9D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850AB6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850AB6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72E436E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020A5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12445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94C19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3D8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AA489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6E798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FAB87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67957DC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19A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AF18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6DE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2BF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9E5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6E3C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AB7AF" w14:textId="77777777" w:rsidR="00C65A06" w:rsidRPr="00553CBD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4,32</w:t>
            </w:r>
          </w:p>
        </w:tc>
      </w:tr>
      <w:tr w:rsidR="00C65A06" w:rsidRPr="0078466C" w14:paraId="43F3C0E0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26E3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BCC60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46BC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532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9CC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4,68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BE84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30748B" w14:textId="77777777" w:rsidR="00C65A06" w:rsidRPr="00553CBD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4,48</w:t>
            </w:r>
          </w:p>
        </w:tc>
      </w:tr>
      <w:tr w:rsidR="00C65A06" w:rsidRPr="0078466C" w14:paraId="47D44CF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3D0B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CFDF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3,84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80A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9C02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14B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88C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E0E594" w14:textId="77777777" w:rsidR="00C65A06" w:rsidRPr="00553CBD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4,18</w:t>
            </w:r>
          </w:p>
        </w:tc>
      </w:tr>
      <w:tr w:rsidR="00C65A06" w:rsidRPr="0078466C" w14:paraId="032E5ED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40CE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EFD5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3,92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5C7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B69C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4720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944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3ECC40" w14:textId="77777777" w:rsidR="00C65A06" w:rsidRPr="00553CBD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4,08</w:t>
            </w:r>
          </w:p>
        </w:tc>
      </w:tr>
      <w:tr w:rsidR="00C65A06" w:rsidRPr="0078466C" w14:paraId="261B2AC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ECD3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1866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EF2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51A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74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8E71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E65A18" w14:textId="77777777" w:rsidR="00C65A06" w:rsidRPr="00553CBD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4,26</w:t>
            </w:r>
          </w:p>
        </w:tc>
      </w:tr>
      <w:tr w:rsidR="00553CBD" w:rsidRPr="0078466C" w14:paraId="38CAEB9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E8E2" w14:textId="77777777" w:rsidR="00553CBD" w:rsidRPr="00FA165E" w:rsidRDefault="00553CBD" w:rsidP="00553CB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2914" w14:textId="77777777" w:rsidR="00553CBD" w:rsidRPr="005254D7" w:rsidRDefault="005254D7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AB39" w14:textId="77777777" w:rsidR="00553CBD" w:rsidRPr="005254D7" w:rsidRDefault="005254D7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8413" w14:textId="77777777" w:rsidR="00553CBD" w:rsidRPr="005254D7" w:rsidRDefault="005254D7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82A0" w14:textId="77777777" w:rsidR="00553CBD" w:rsidRPr="008D30B8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1708" w14:textId="77777777" w:rsidR="00553CBD" w:rsidRPr="008D30B8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75EC1" w14:textId="77777777" w:rsidR="00553CBD" w:rsidRPr="008D30B8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4,12</w:t>
            </w:r>
          </w:p>
        </w:tc>
      </w:tr>
      <w:tr w:rsidR="00C65A06" w:rsidRPr="0078466C" w14:paraId="76C28BE3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C61F5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E1FF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E65A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4,24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9E80E" w14:textId="77777777" w:rsidR="00C65A06" w:rsidRPr="00050CA2" w:rsidRDefault="005254D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4,31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8475D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4,33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924D" w14:textId="77777777" w:rsidR="00C65A06" w:rsidRPr="00050CA2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4,22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1773CF" w14:textId="77777777" w:rsidR="00C65A06" w:rsidRPr="00130E40" w:rsidRDefault="004029F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4,24</w:t>
            </w:r>
          </w:p>
        </w:tc>
      </w:tr>
    </w:tbl>
    <w:p w14:paraId="207D6C71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6B5F0F6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AD13CCF" wp14:editId="4816DAC4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2FD37DED" wp14:editId="5F92B614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E9D2E7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14CB0FA" w14:textId="0A5C38D6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ВЈЕЖБИ, по годинама, за појединачне индикаторе у </w:t>
      </w:r>
      <w:r w:rsidR="001A5FCC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850AB6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850AB6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61DFBF37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E1E1D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640A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C729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4A562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95F9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60106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207BD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5BD764F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8E00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7ADB" w14:textId="77777777" w:rsidR="008D30B8" w:rsidRPr="008D30B8" w:rsidRDefault="008D30B8" w:rsidP="008D30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3,84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E9C3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59C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709C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98A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65AE2A" w14:textId="77777777" w:rsidR="0095069F" w:rsidRPr="00E213FF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4,16</w:t>
            </w:r>
          </w:p>
        </w:tc>
      </w:tr>
      <w:tr w:rsidR="0095069F" w:rsidRPr="0078466C" w14:paraId="5E9C5142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0EAE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2212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E5ED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9AF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90B1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4,52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25A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4,50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F03E8C" w14:textId="77777777" w:rsidR="0095069F" w:rsidRPr="00E213FF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4,38</w:t>
            </w:r>
          </w:p>
        </w:tc>
      </w:tr>
      <w:tr w:rsidR="0095069F" w:rsidRPr="0078466C" w14:paraId="7C373F23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6FF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CC31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F8C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5F7D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240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431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281EEC" w14:textId="77777777" w:rsidR="0095069F" w:rsidRPr="00E213FF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4,24</w:t>
            </w:r>
          </w:p>
        </w:tc>
      </w:tr>
      <w:tr w:rsidR="0095069F" w:rsidRPr="0078466C" w14:paraId="5A83F286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2835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7B40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4C26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810" w14:textId="77777777" w:rsidR="00C620BC" w:rsidRPr="008D30B8" w:rsidRDefault="008D30B8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183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752B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ECBFBA" w14:textId="77777777" w:rsidR="0095069F" w:rsidRPr="00E213FF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4,22</w:t>
            </w:r>
          </w:p>
        </w:tc>
      </w:tr>
      <w:tr w:rsidR="0095069F" w:rsidRPr="0078466C" w14:paraId="37C0717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E21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276F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3,94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B04D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7827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584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8829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05102" w14:textId="77777777" w:rsidR="0095069F" w:rsidRPr="00E213FF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4,26</w:t>
            </w:r>
          </w:p>
        </w:tc>
      </w:tr>
      <w:tr w:rsidR="00553CBD" w:rsidRPr="0078466C" w14:paraId="215BA2D3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0E30" w14:textId="77777777" w:rsidR="00553CBD" w:rsidRPr="00FA165E" w:rsidRDefault="00553CBD" w:rsidP="00553CB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4278" w14:textId="77777777" w:rsidR="00553CBD" w:rsidRPr="008D30B8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952" w14:textId="77777777" w:rsidR="00553CBD" w:rsidRPr="008D30B8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5ED" w14:textId="77777777" w:rsidR="00553CBD" w:rsidRPr="008D30B8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F7BF" w14:textId="77777777" w:rsidR="00553CBD" w:rsidRPr="008D30B8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4,58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1B47" w14:textId="77777777" w:rsidR="00553CBD" w:rsidRPr="008D30B8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4,60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B831CE" w14:textId="77777777" w:rsidR="00553CBD" w:rsidRPr="00E213FF" w:rsidRDefault="008D30B8" w:rsidP="00553C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BA"/>
              </w:rPr>
              <w:t>4,42</w:t>
            </w:r>
          </w:p>
        </w:tc>
      </w:tr>
      <w:tr w:rsidR="0095069F" w:rsidRPr="0078466C" w14:paraId="12B1FD95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823D36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3222C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2DEDB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C4E7B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4,32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6CC5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4,41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8A23A" w14:textId="77777777" w:rsidR="0095069F" w:rsidRPr="008D30B8" w:rsidRDefault="008D30B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4,38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44AAF" w14:textId="77777777" w:rsidR="0095069F" w:rsidRPr="00130E40" w:rsidRDefault="004029F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4,28</w:t>
            </w:r>
          </w:p>
        </w:tc>
      </w:tr>
    </w:tbl>
    <w:p w14:paraId="515A0715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05CE9530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1A5FF3F6" wp14:editId="6E1EDDE9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13420AB" wp14:editId="37D5FEB0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3DFCC5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22170376" w14:textId="213F5927" w:rsidR="00811FB3" w:rsidRDefault="00811FB3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зимском семестру 20</w:t>
      </w:r>
      <w:r w:rsidR="00850AB6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850AB6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67EC7CF0" w14:textId="77777777" w:rsidR="00824364" w:rsidRDefault="00824364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681F06E" w14:textId="77777777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је </w:t>
      </w:r>
      <w:r w:rsidR="00F65DA5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10033B" w:rsidRPr="0010033B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F65DA5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F65DA5" w:rsidRPr="00F65DA5">
        <w:rPr>
          <w:rFonts w:ascii="Times New Roman" w:hAnsi="Times New Roman" w:cs="Times New Roman"/>
          <w:b/>
          <w:sz w:val="24"/>
          <w:szCs w:val="24"/>
          <w:lang w:val="sr-Latn-BA"/>
        </w:rPr>
        <w:t>8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E6F6420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4F1791C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2610932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FAAC0BF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B12359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A5DD82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2F8558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1B2E8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D4B54E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63C3706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398B858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641879E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2AFC94F0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36EA7B2D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C844BD5" w14:textId="77777777" w:rsidR="006F58FD" w:rsidRPr="006F58FD" w:rsidRDefault="00C606D2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3,92</w:t>
            </w:r>
          </w:p>
        </w:tc>
        <w:tc>
          <w:tcPr>
            <w:tcW w:w="1559" w:type="dxa"/>
            <w:vAlign w:val="center"/>
          </w:tcPr>
          <w:p w14:paraId="5A5E0617" w14:textId="77777777" w:rsidR="006F58FD" w:rsidRPr="006F58FD" w:rsidRDefault="00C606D2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701" w:type="dxa"/>
            <w:vAlign w:val="center"/>
          </w:tcPr>
          <w:p w14:paraId="641C86C8" w14:textId="77777777" w:rsidR="006F58FD" w:rsidRPr="006F58FD" w:rsidRDefault="00212B7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4,22</w:t>
            </w:r>
          </w:p>
        </w:tc>
        <w:tc>
          <w:tcPr>
            <w:tcW w:w="1559" w:type="dxa"/>
            <w:vAlign w:val="center"/>
          </w:tcPr>
          <w:p w14:paraId="356B8C1C" w14:textId="77777777" w:rsidR="006F58FD" w:rsidRPr="006F58FD" w:rsidRDefault="00C606D2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4,42</w:t>
            </w:r>
          </w:p>
        </w:tc>
        <w:tc>
          <w:tcPr>
            <w:tcW w:w="1560" w:type="dxa"/>
            <w:vAlign w:val="center"/>
          </w:tcPr>
          <w:p w14:paraId="79EAE5C3" w14:textId="77777777" w:rsidR="006F58FD" w:rsidRPr="006F58FD" w:rsidRDefault="00212B7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37D50A4" w14:textId="77777777" w:rsidR="006F58FD" w:rsidRPr="00BF6995" w:rsidRDefault="00212B78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4,18</w:t>
            </w:r>
          </w:p>
        </w:tc>
      </w:tr>
      <w:tr w:rsidR="006F58FD" w:rsidRPr="00E75110" w14:paraId="07E3BD6B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88DB594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7BB114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37451C97" w14:textId="77777777" w:rsidR="006F58FD" w:rsidRPr="006F58FD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559" w:type="dxa"/>
            <w:vAlign w:val="center"/>
          </w:tcPr>
          <w:p w14:paraId="71669BE7" w14:textId="77777777" w:rsidR="006F58FD" w:rsidRPr="006F58FD" w:rsidRDefault="00C606D2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701" w:type="dxa"/>
            <w:vAlign w:val="center"/>
          </w:tcPr>
          <w:p w14:paraId="0877DEF6" w14:textId="77777777" w:rsidR="006F58FD" w:rsidRPr="006F58FD" w:rsidRDefault="00212B7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4,32</w:t>
            </w:r>
          </w:p>
        </w:tc>
        <w:tc>
          <w:tcPr>
            <w:tcW w:w="1559" w:type="dxa"/>
            <w:vAlign w:val="center"/>
          </w:tcPr>
          <w:p w14:paraId="79B14886" w14:textId="77777777" w:rsidR="006F58FD" w:rsidRPr="006F58FD" w:rsidRDefault="00C606D2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4,24</w:t>
            </w:r>
          </w:p>
        </w:tc>
        <w:tc>
          <w:tcPr>
            <w:tcW w:w="1560" w:type="dxa"/>
            <w:vAlign w:val="center"/>
          </w:tcPr>
          <w:p w14:paraId="21382F9F" w14:textId="77777777" w:rsidR="006F58FD" w:rsidRPr="006F58FD" w:rsidRDefault="00C606D2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387B2D1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4,14</w:t>
            </w:r>
          </w:p>
        </w:tc>
      </w:tr>
      <w:tr w:rsidR="006F58FD" w:rsidRPr="00E75110" w14:paraId="6FAB7EDE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6E65BE8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E60A94D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BB688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3,97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A644CA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A9DADE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4,27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3E3631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4,33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B1AA7A" w14:textId="77777777" w:rsidR="006F58FD" w:rsidRPr="00BF6995" w:rsidRDefault="00212B78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4,14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FE5D865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BA"/>
              </w:rPr>
              <w:t>4,16</w:t>
            </w:r>
          </w:p>
        </w:tc>
      </w:tr>
      <w:tr w:rsidR="006F58FD" w:rsidRPr="00E75110" w14:paraId="7753397B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2F053C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3E8889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ACBFE3D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6EE542A6" w14:textId="77777777" w:rsidR="006F58FD" w:rsidRPr="00C606D2" w:rsidRDefault="00212B7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4,02</w:t>
            </w:r>
          </w:p>
        </w:tc>
        <w:tc>
          <w:tcPr>
            <w:tcW w:w="1559" w:type="dxa"/>
            <w:vAlign w:val="center"/>
          </w:tcPr>
          <w:p w14:paraId="6C3AC7FF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4,16</w:t>
            </w:r>
          </w:p>
        </w:tc>
        <w:tc>
          <w:tcPr>
            <w:tcW w:w="1701" w:type="dxa"/>
            <w:vAlign w:val="center"/>
          </w:tcPr>
          <w:p w14:paraId="26177ED8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4,30</w:t>
            </w:r>
          </w:p>
        </w:tc>
        <w:tc>
          <w:tcPr>
            <w:tcW w:w="1559" w:type="dxa"/>
            <w:vAlign w:val="center"/>
          </w:tcPr>
          <w:p w14:paraId="6E69EC06" w14:textId="77777777" w:rsidR="006F58FD" w:rsidRPr="00BF6995" w:rsidRDefault="00212B7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4,24</w:t>
            </w:r>
          </w:p>
        </w:tc>
        <w:tc>
          <w:tcPr>
            <w:tcW w:w="1560" w:type="dxa"/>
            <w:vAlign w:val="center"/>
          </w:tcPr>
          <w:p w14:paraId="70908DED" w14:textId="77777777" w:rsidR="006F58FD" w:rsidRPr="00BF6995" w:rsidRDefault="00212B7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4,28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4A19EBA" w14:textId="77777777" w:rsidR="006F58FD" w:rsidRPr="00BF6995" w:rsidRDefault="00BF699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4,20</w:t>
            </w:r>
          </w:p>
        </w:tc>
      </w:tr>
      <w:tr w:rsidR="006F58FD" w:rsidRPr="00E75110" w14:paraId="37DA4ADA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ED123E3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485A8D36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54E830F9" w14:textId="77777777" w:rsidR="006F58FD" w:rsidRPr="00BF6995" w:rsidRDefault="00212B78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3,96</w:t>
            </w:r>
          </w:p>
        </w:tc>
        <w:tc>
          <w:tcPr>
            <w:tcW w:w="1559" w:type="dxa"/>
            <w:vAlign w:val="center"/>
          </w:tcPr>
          <w:p w14:paraId="6AABB0EC" w14:textId="77777777" w:rsidR="006F58FD" w:rsidRPr="00BF6995" w:rsidRDefault="00BF6995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4,22</w:t>
            </w:r>
          </w:p>
        </w:tc>
        <w:tc>
          <w:tcPr>
            <w:tcW w:w="1701" w:type="dxa"/>
            <w:vAlign w:val="center"/>
          </w:tcPr>
          <w:p w14:paraId="57AF4039" w14:textId="77777777" w:rsidR="006F58FD" w:rsidRPr="00BF6995" w:rsidRDefault="00BF6995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4,26</w:t>
            </w:r>
          </w:p>
        </w:tc>
        <w:tc>
          <w:tcPr>
            <w:tcW w:w="1559" w:type="dxa"/>
            <w:vAlign w:val="center"/>
          </w:tcPr>
          <w:p w14:paraId="793FB986" w14:textId="77777777" w:rsidR="006F58FD" w:rsidRPr="00BF6995" w:rsidRDefault="00212B78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4,16</w:t>
            </w:r>
          </w:p>
        </w:tc>
        <w:tc>
          <w:tcPr>
            <w:tcW w:w="1560" w:type="dxa"/>
            <w:vAlign w:val="center"/>
          </w:tcPr>
          <w:p w14:paraId="1CBD3C53" w14:textId="77777777" w:rsidR="006F58FD" w:rsidRPr="00BF6995" w:rsidRDefault="00F65DA5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4,20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2BFEC55" w14:textId="77777777" w:rsidR="006F58FD" w:rsidRPr="00BF6995" w:rsidRDefault="00212B7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4,16</w:t>
            </w:r>
          </w:p>
        </w:tc>
      </w:tr>
      <w:tr w:rsidR="006F58FD" w:rsidRPr="00E75110" w14:paraId="3E9E34E1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C765C18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3B7E8D2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6BB3E7" w14:textId="77777777" w:rsidR="006F58FD" w:rsidRPr="00BF6995" w:rsidRDefault="00BF699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3,99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1893F" w14:textId="77777777" w:rsidR="006F58FD" w:rsidRPr="00BF6995" w:rsidRDefault="00BF699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5B181F" w14:textId="77777777" w:rsidR="006F58FD" w:rsidRPr="00BF6995" w:rsidRDefault="00BF699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4,28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B915C3" w14:textId="77777777" w:rsidR="006F58FD" w:rsidRPr="00BF6995" w:rsidRDefault="00212B7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</w:t>
            </w:r>
            <w:r w:rsidR="00BF699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,21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848BAB" w14:textId="77777777" w:rsidR="006F58FD" w:rsidRPr="00BF6995" w:rsidRDefault="00BF699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4,19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EEF0F1" w14:textId="77777777" w:rsidR="006F58FD" w:rsidRPr="00BF6995" w:rsidRDefault="00BF699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BA"/>
              </w:rPr>
              <w:t>4,18</w:t>
            </w:r>
          </w:p>
        </w:tc>
      </w:tr>
    </w:tbl>
    <w:p w14:paraId="565F61B8" w14:textId="77777777" w:rsidR="00811FB3" w:rsidRPr="0078466C" w:rsidRDefault="00811FB3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sectPr w:rsidR="00811FB3" w:rsidRPr="0078466C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35A4B"/>
    <w:rsid w:val="00050CA2"/>
    <w:rsid w:val="00052A2C"/>
    <w:rsid w:val="00085A96"/>
    <w:rsid w:val="00093151"/>
    <w:rsid w:val="000A1D7F"/>
    <w:rsid w:val="000B6929"/>
    <w:rsid w:val="000D191F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4C6D"/>
    <w:rsid w:val="00166D98"/>
    <w:rsid w:val="00167849"/>
    <w:rsid w:val="00172103"/>
    <w:rsid w:val="001737F3"/>
    <w:rsid w:val="0017536B"/>
    <w:rsid w:val="00187A5F"/>
    <w:rsid w:val="00187ACF"/>
    <w:rsid w:val="00190FEB"/>
    <w:rsid w:val="0019130D"/>
    <w:rsid w:val="001A288B"/>
    <w:rsid w:val="001A413B"/>
    <w:rsid w:val="001A5FCC"/>
    <w:rsid w:val="001D38AB"/>
    <w:rsid w:val="001D4323"/>
    <w:rsid w:val="001E0BE2"/>
    <w:rsid w:val="001E2FA1"/>
    <w:rsid w:val="001F351A"/>
    <w:rsid w:val="001F7F07"/>
    <w:rsid w:val="00206358"/>
    <w:rsid w:val="00212690"/>
    <w:rsid w:val="00212B78"/>
    <w:rsid w:val="002173ED"/>
    <w:rsid w:val="00221296"/>
    <w:rsid w:val="00226AD8"/>
    <w:rsid w:val="00226FAB"/>
    <w:rsid w:val="00231EA7"/>
    <w:rsid w:val="00235FEF"/>
    <w:rsid w:val="002367BC"/>
    <w:rsid w:val="00240DFE"/>
    <w:rsid w:val="00244B28"/>
    <w:rsid w:val="0024772B"/>
    <w:rsid w:val="00266CC9"/>
    <w:rsid w:val="0029768A"/>
    <w:rsid w:val="002A268B"/>
    <w:rsid w:val="002A500D"/>
    <w:rsid w:val="002A6B3B"/>
    <w:rsid w:val="002B7538"/>
    <w:rsid w:val="002E33FE"/>
    <w:rsid w:val="002E43C0"/>
    <w:rsid w:val="002E5569"/>
    <w:rsid w:val="00302FE1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96CB3"/>
    <w:rsid w:val="003A4F88"/>
    <w:rsid w:val="003A7132"/>
    <w:rsid w:val="003C39CB"/>
    <w:rsid w:val="003F4C99"/>
    <w:rsid w:val="003F62F0"/>
    <w:rsid w:val="004029F5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01B4"/>
    <w:rsid w:val="00494024"/>
    <w:rsid w:val="004A208A"/>
    <w:rsid w:val="004A2BBE"/>
    <w:rsid w:val="004E2209"/>
    <w:rsid w:val="0051383F"/>
    <w:rsid w:val="005157C7"/>
    <w:rsid w:val="00522E80"/>
    <w:rsid w:val="0052506A"/>
    <w:rsid w:val="005254D7"/>
    <w:rsid w:val="00530E2C"/>
    <w:rsid w:val="00542EC1"/>
    <w:rsid w:val="00552827"/>
    <w:rsid w:val="00553CBD"/>
    <w:rsid w:val="00555071"/>
    <w:rsid w:val="00555E3A"/>
    <w:rsid w:val="00561EFC"/>
    <w:rsid w:val="005627F1"/>
    <w:rsid w:val="005769E0"/>
    <w:rsid w:val="00577DD0"/>
    <w:rsid w:val="00580B9F"/>
    <w:rsid w:val="005900BF"/>
    <w:rsid w:val="00595352"/>
    <w:rsid w:val="00595468"/>
    <w:rsid w:val="00595848"/>
    <w:rsid w:val="005A198C"/>
    <w:rsid w:val="005A36B4"/>
    <w:rsid w:val="005C2C2D"/>
    <w:rsid w:val="005E17E3"/>
    <w:rsid w:val="00617941"/>
    <w:rsid w:val="0062695C"/>
    <w:rsid w:val="00643FE8"/>
    <w:rsid w:val="006502B4"/>
    <w:rsid w:val="00685D6D"/>
    <w:rsid w:val="006A55DF"/>
    <w:rsid w:val="006E2614"/>
    <w:rsid w:val="006E7C4E"/>
    <w:rsid w:val="006F18FD"/>
    <w:rsid w:val="006F3458"/>
    <w:rsid w:val="006F52FE"/>
    <w:rsid w:val="006F58FD"/>
    <w:rsid w:val="006F6B41"/>
    <w:rsid w:val="006F6E47"/>
    <w:rsid w:val="006F7BF8"/>
    <w:rsid w:val="00701964"/>
    <w:rsid w:val="007202A8"/>
    <w:rsid w:val="007425E3"/>
    <w:rsid w:val="00746835"/>
    <w:rsid w:val="00757ACD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4F47"/>
    <w:rsid w:val="007B2508"/>
    <w:rsid w:val="007B4680"/>
    <w:rsid w:val="007D2DA6"/>
    <w:rsid w:val="00804D47"/>
    <w:rsid w:val="00811FB3"/>
    <w:rsid w:val="00821400"/>
    <w:rsid w:val="0082273C"/>
    <w:rsid w:val="00824364"/>
    <w:rsid w:val="00830CF1"/>
    <w:rsid w:val="00835875"/>
    <w:rsid w:val="00835EF9"/>
    <w:rsid w:val="00850AB6"/>
    <w:rsid w:val="00851DB2"/>
    <w:rsid w:val="008664FD"/>
    <w:rsid w:val="008964C8"/>
    <w:rsid w:val="00896B75"/>
    <w:rsid w:val="008A6CD1"/>
    <w:rsid w:val="008C0488"/>
    <w:rsid w:val="008C3064"/>
    <w:rsid w:val="008C4A93"/>
    <w:rsid w:val="008D30B8"/>
    <w:rsid w:val="008F2505"/>
    <w:rsid w:val="0091515C"/>
    <w:rsid w:val="00921EAF"/>
    <w:rsid w:val="0092678A"/>
    <w:rsid w:val="00933AA4"/>
    <w:rsid w:val="00934572"/>
    <w:rsid w:val="0094769C"/>
    <w:rsid w:val="0095069F"/>
    <w:rsid w:val="009524E8"/>
    <w:rsid w:val="009538CF"/>
    <w:rsid w:val="009743FA"/>
    <w:rsid w:val="00982D31"/>
    <w:rsid w:val="00983AAA"/>
    <w:rsid w:val="0098589B"/>
    <w:rsid w:val="0099364A"/>
    <w:rsid w:val="009A1FDF"/>
    <w:rsid w:val="009B6FA8"/>
    <w:rsid w:val="009C58BD"/>
    <w:rsid w:val="009F1DB1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73A"/>
    <w:rsid w:val="00A92545"/>
    <w:rsid w:val="00AB2C7A"/>
    <w:rsid w:val="00AB69FF"/>
    <w:rsid w:val="00AC0A8A"/>
    <w:rsid w:val="00AC7E0F"/>
    <w:rsid w:val="00AD7899"/>
    <w:rsid w:val="00AE2B66"/>
    <w:rsid w:val="00AF240D"/>
    <w:rsid w:val="00AF454B"/>
    <w:rsid w:val="00B14E65"/>
    <w:rsid w:val="00B24F1D"/>
    <w:rsid w:val="00B36038"/>
    <w:rsid w:val="00B510DD"/>
    <w:rsid w:val="00B51DE8"/>
    <w:rsid w:val="00B67AC1"/>
    <w:rsid w:val="00B701BF"/>
    <w:rsid w:val="00B86824"/>
    <w:rsid w:val="00B93036"/>
    <w:rsid w:val="00BE083C"/>
    <w:rsid w:val="00BE4679"/>
    <w:rsid w:val="00BF6995"/>
    <w:rsid w:val="00C03B0F"/>
    <w:rsid w:val="00C06F59"/>
    <w:rsid w:val="00C2798A"/>
    <w:rsid w:val="00C33B79"/>
    <w:rsid w:val="00C405B5"/>
    <w:rsid w:val="00C43ACC"/>
    <w:rsid w:val="00C43CA3"/>
    <w:rsid w:val="00C60578"/>
    <w:rsid w:val="00C606D2"/>
    <w:rsid w:val="00C620BC"/>
    <w:rsid w:val="00C63F3B"/>
    <w:rsid w:val="00C65A06"/>
    <w:rsid w:val="00C70424"/>
    <w:rsid w:val="00C712EF"/>
    <w:rsid w:val="00CC29ED"/>
    <w:rsid w:val="00CE3D9D"/>
    <w:rsid w:val="00CE59F4"/>
    <w:rsid w:val="00CE77FB"/>
    <w:rsid w:val="00CE797B"/>
    <w:rsid w:val="00CF296F"/>
    <w:rsid w:val="00D05005"/>
    <w:rsid w:val="00D2032E"/>
    <w:rsid w:val="00D359D5"/>
    <w:rsid w:val="00D5238A"/>
    <w:rsid w:val="00D55830"/>
    <w:rsid w:val="00D71DB0"/>
    <w:rsid w:val="00D72160"/>
    <w:rsid w:val="00D81E71"/>
    <w:rsid w:val="00D95A12"/>
    <w:rsid w:val="00D97AEA"/>
    <w:rsid w:val="00DA3965"/>
    <w:rsid w:val="00DB0C66"/>
    <w:rsid w:val="00E04C42"/>
    <w:rsid w:val="00E16A10"/>
    <w:rsid w:val="00E213FF"/>
    <w:rsid w:val="00E229CB"/>
    <w:rsid w:val="00E268CA"/>
    <w:rsid w:val="00E3602B"/>
    <w:rsid w:val="00E369DE"/>
    <w:rsid w:val="00E448E8"/>
    <w:rsid w:val="00E626AF"/>
    <w:rsid w:val="00E75110"/>
    <w:rsid w:val="00E86649"/>
    <w:rsid w:val="00E945C9"/>
    <w:rsid w:val="00EB12C3"/>
    <w:rsid w:val="00EC133B"/>
    <w:rsid w:val="00ED70F8"/>
    <w:rsid w:val="00F07ECD"/>
    <w:rsid w:val="00F1338C"/>
    <w:rsid w:val="00F13614"/>
    <w:rsid w:val="00F14B56"/>
    <w:rsid w:val="00F2017C"/>
    <w:rsid w:val="00F62776"/>
    <w:rsid w:val="00F65DA5"/>
    <w:rsid w:val="00F66BC4"/>
    <w:rsid w:val="00F71B66"/>
    <w:rsid w:val="00F7223D"/>
    <w:rsid w:val="00F73F67"/>
    <w:rsid w:val="00F75597"/>
    <w:rsid w:val="00F8146B"/>
    <w:rsid w:val="00F904C3"/>
    <w:rsid w:val="00F97420"/>
    <w:rsid w:val="00FA165E"/>
    <w:rsid w:val="00FC6130"/>
    <w:rsid w:val="00FD2B83"/>
    <w:rsid w:val="00FE17F2"/>
    <w:rsid w:val="00FE66BB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FBA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80-4AA6-909F-F0574049BB24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80-4AA6-909F-F0574049BB24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80-4AA6-909F-F0574049BB24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80-4AA6-909F-F0574049BB24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80-4AA6-909F-F0574049BB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4.03</c:v>
                </c:pt>
                <c:pt idx="1">
                  <c:v>4.25</c:v>
                </c:pt>
                <c:pt idx="2">
                  <c:v>4.3099999999999996</c:v>
                </c:pt>
                <c:pt idx="3">
                  <c:v>4.37</c:v>
                </c:pt>
                <c:pt idx="4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980-4AA6-909F-F0574049B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099376"/>
        <c:axId val="455095456"/>
      </c:barChart>
      <c:catAx>
        <c:axId val="45509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455095456"/>
        <c:crosses val="autoZero"/>
        <c:auto val="1"/>
        <c:lblAlgn val="ctr"/>
        <c:lblOffset val="100"/>
        <c:noMultiLvlLbl val="0"/>
      </c:catAx>
      <c:valAx>
        <c:axId val="45509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45509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7C-4C57-9988-04F8D4927808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7C-4C57-9988-04F8D4927808}"/>
                </c:ext>
              </c:extLst>
            </c:dLbl>
            <c:dLbl>
              <c:idx val="2"/>
              <c:layout>
                <c:manualLayout>
                  <c:x val="-3.8765690243478071E-4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7C-4C57-9988-04F8D4927808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7C-4C57-9988-04F8D4927808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7C-4C57-9988-04F8D4927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4.24</c:v>
                </c:pt>
                <c:pt idx="1">
                  <c:v>4.43</c:v>
                </c:pt>
                <c:pt idx="2">
                  <c:v>4.21</c:v>
                </c:pt>
                <c:pt idx="3">
                  <c:v>4.1500000000000004</c:v>
                </c:pt>
                <c:pt idx="4">
                  <c:v>4.26</c:v>
                </c:pt>
                <c:pt idx="5">
                  <c:v>4.2699999999999996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7C-4C57-9988-04F8D4927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094672"/>
        <c:axId val="455080168"/>
      </c:barChart>
      <c:catAx>
        <c:axId val="45509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455080168"/>
        <c:crossesAt val="3.9"/>
        <c:auto val="1"/>
        <c:lblAlgn val="ctr"/>
        <c:lblOffset val="100"/>
        <c:noMultiLvlLbl val="0"/>
      </c:catAx>
      <c:valAx>
        <c:axId val="45508016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45509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CE-45D8-BD2B-8394BCD1A913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CE-45D8-BD2B-8394BCD1A913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CE-45D8-BD2B-8394BCD1A913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CE-45D8-BD2B-8394BCD1A913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CE-45D8-BD2B-8394BCD1A9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4.0199999999999996</c:v>
                </c:pt>
                <c:pt idx="1">
                  <c:v>4.24</c:v>
                </c:pt>
                <c:pt idx="2">
                  <c:v>4.3099999999999996</c:v>
                </c:pt>
                <c:pt idx="3">
                  <c:v>4.33</c:v>
                </c:pt>
                <c:pt idx="4">
                  <c:v>4.22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CE-45D8-BD2B-8394BCD1A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367320"/>
        <c:axId val="394366536"/>
      </c:barChart>
      <c:catAx>
        <c:axId val="39436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94366536"/>
        <c:crosses val="autoZero"/>
        <c:auto val="1"/>
        <c:lblAlgn val="ctr"/>
        <c:lblOffset val="100"/>
        <c:noMultiLvlLbl val="0"/>
      </c:catAx>
      <c:valAx>
        <c:axId val="394366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94367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CB-4EAC-B48A-7D2407CF77B6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CB-4EAC-B48A-7D2407CF77B6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CB-4EAC-B48A-7D2407CF77B6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CB-4EAC-B48A-7D2407CF77B6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CB-4EAC-B48A-7D2407CF77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4.32</c:v>
                </c:pt>
                <c:pt idx="1">
                  <c:v>4.4800000000000004</c:v>
                </c:pt>
                <c:pt idx="2">
                  <c:v>4.18</c:v>
                </c:pt>
                <c:pt idx="3">
                  <c:v>4.08</c:v>
                </c:pt>
                <c:pt idx="4">
                  <c:v>4.26</c:v>
                </c:pt>
                <c:pt idx="5">
                  <c:v>4.12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CB-4EAC-B48A-7D2407CF7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367712"/>
        <c:axId val="394365752"/>
      </c:barChart>
      <c:catAx>
        <c:axId val="39436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94365752"/>
        <c:crossesAt val="3.9"/>
        <c:auto val="1"/>
        <c:lblAlgn val="ctr"/>
        <c:lblOffset val="100"/>
        <c:noMultiLvlLbl val="0"/>
      </c:catAx>
      <c:valAx>
        <c:axId val="394365752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9436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02-488F-932F-1C53393C247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02-488F-932F-1C53393C247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02-488F-932F-1C53393C247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02-488F-932F-1C53393C247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02-488F-932F-1C53393C24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4.03</c:v>
                </c:pt>
                <c:pt idx="1">
                  <c:v>4.26</c:v>
                </c:pt>
                <c:pt idx="2">
                  <c:v>4.32</c:v>
                </c:pt>
                <c:pt idx="3">
                  <c:v>4.41</c:v>
                </c:pt>
                <c:pt idx="4">
                  <c:v>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02-488F-932F-1C53393C2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370848"/>
        <c:axId val="394364184"/>
      </c:barChart>
      <c:catAx>
        <c:axId val="39437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94364184"/>
        <c:crosses val="autoZero"/>
        <c:auto val="1"/>
        <c:lblAlgn val="ctr"/>
        <c:lblOffset val="100"/>
        <c:noMultiLvlLbl val="0"/>
      </c:catAx>
      <c:valAx>
        <c:axId val="394364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9437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4.16</c:v>
                </c:pt>
                <c:pt idx="1">
                  <c:v>4.38</c:v>
                </c:pt>
                <c:pt idx="2">
                  <c:v>4.24</c:v>
                </c:pt>
                <c:pt idx="3">
                  <c:v>4.22</c:v>
                </c:pt>
                <c:pt idx="4">
                  <c:v>4.26</c:v>
                </c:pt>
                <c:pt idx="5">
                  <c:v>4.42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1-4143-A8AC-198C5E5BE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369672"/>
        <c:axId val="394364968"/>
      </c:barChart>
      <c:catAx>
        <c:axId val="394369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94364968"/>
        <c:crossesAt val="3.9"/>
        <c:auto val="1"/>
        <c:lblAlgn val="ctr"/>
        <c:lblOffset val="100"/>
        <c:noMultiLvlLbl val="0"/>
      </c:catAx>
      <c:valAx>
        <c:axId val="39436496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94369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F4F1-F43D-4690-B4DA-5BAAE82E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149</cp:revision>
  <cp:lastPrinted>2018-02-07T12:16:00Z</cp:lastPrinted>
  <dcterms:created xsi:type="dcterms:W3CDTF">2012-10-31T20:49:00Z</dcterms:created>
  <dcterms:modified xsi:type="dcterms:W3CDTF">2022-02-11T06:57:00Z</dcterms:modified>
</cp:coreProperties>
</file>